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150" w:afterAutospacing="0" w:line="17" w:lineRule="atLeast"/>
        <w:ind w:left="0" w:right="0"/>
        <w:jc w:val="center"/>
        <w:rPr>
          <w:b/>
          <w:bCs/>
          <w:sz w:val="24"/>
          <w:szCs w:val="24"/>
        </w:rPr>
      </w:pPr>
      <w:r>
        <w:rPr>
          <w:b/>
          <w:bCs/>
          <w:i w:val="0"/>
          <w:iCs w:val="0"/>
          <w:caps w:val="0"/>
          <w:color w:val="676A6C"/>
          <w:spacing w:val="0"/>
          <w:sz w:val="24"/>
          <w:szCs w:val="24"/>
          <w:shd w:val="clear" w:fill="FFFFFF"/>
        </w:rPr>
        <w:t>关于开展2022-2023学年校长特别奖评选工作的通知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各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班级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根据《南京中医药大学校长特别奖学金评定细则》有关要求，现将我校2022-2023学年校长特别奖评选工作通知如下：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2"/>
        <w:jc w:val="left"/>
        <w:rPr>
          <w:color w:val="000000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一、评选时间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2023年11月15日-12月10日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2"/>
        <w:jc w:val="left"/>
        <w:rPr>
          <w:color w:val="000000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二、评选条件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1.获得2022-2023学年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人民奖学金综合奖三等奖及以上，思想道德素质评定为优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2.为人正直，乐于助人，积极参与社会工作，热心公益活动。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3.学生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体质健康标准测试达良好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等级及以上。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2"/>
        <w:jc w:val="left"/>
        <w:rPr>
          <w:color w:val="000000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三、评选类别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参评同学在具备必备条件的前提下，对照“修德”、“勤学”、“笃行”、“励美”四个类别要求，选择其中一个类别进行申报，申报者必须在其所选择的类别中具有较为突出、饱满鲜活的典型事迹。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2"/>
        <w:jc w:val="left"/>
        <w:rPr>
          <w:color w:val="000000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四、评选要求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.各学院要深入挖掘学生中的先进典型，注重评选过程的教育和引导，鼓励广大同学积极申报，提高广大同学的关注度。通过院内宣传、审核、公开答辩的评选形式，在同学中树立先进典型，发挥榜样作用，激励和引导广大同学不断进取，追求卓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2.各学院申报名额见附件。候选人事迹必须围绕申报类别体现，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篇幅不低于60%。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3.本次校长特别奖全校共评出不超过10名同学。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2"/>
        <w:jc w:val="left"/>
        <w:rPr>
          <w:color w:val="000000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五、评选安排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1.11月15日-11月22日，各学院确定学院推荐候选人，提交《2022-2023学年校长特别奖学生申报汇总表》（附件1）和事迹材料（1500字左右）纸质版（学工书记签字、学院盖章），候选人生活照、证件照、汇总表和事迹材料电子版通过新学工系统“上报材料”栏报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2.11月23日-11月27日，校内审核、宣传。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3.11月28日-12月6日，组织完成校内公开答辩，确定获奖学生名单并进行公示。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附件：1.2022-2023学年校长特别奖学生申报汇总表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/>
        <w:jc w:val="lef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          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2.事迹材料范例</w:t>
      </w:r>
    </w:p>
    <w:tbl>
      <w:tblPr>
        <w:tblStyle w:val="4"/>
        <w:tblW w:w="73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2410"/>
        <w:gridCol w:w="1423"/>
        <w:gridCol w:w="1183"/>
        <w:gridCol w:w="1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勤学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修德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笃行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总数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中医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针推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护理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养老</w:t>
            </w:r>
          </w:p>
        </w:tc>
        <w:tc>
          <w:tcPr>
            <w:tcW w:w="50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卫管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智信</w:t>
            </w:r>
          </w:p>
        </w:tc>
        <w:tc>
          <w:tcPr>
            <w:tcW w:w="50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一临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泰州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color w:val="000000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333333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center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学工处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right"/>
        <w:rPr>
          <w:color w:val="000000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2023年11月15日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NjA2NDk2ZTg3ZTBiOTNlMjZiNWIwYmNmMGQyN2QifQ=="/>
  </w:docVars>
  <w:rsids>
    <w:rsidRoot w:val="00000000"/>
    <w:rsid w:val="06B45F02"/>
    <w:rsid w:val="30CF5A24"/>
    <w:rsid w:val="550541C2"/>
    <w:rsid w:val="6ECD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2023-11-16T01:58:00Z</dcterms:created>
  <dc:creator>zny</dc:creator>
  <cp:lastModifiedBy>张宁一</cp:lastModifiedBy>
  <dcterms:modified xsi:type="dcterms:W3CDTF">2023-11-16T02:09:43Z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CFCF6AE102834321AECBA5F69AF41F8F_13</vt:lpwstr>
  </property>
</Properties>
</file>