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84" w:rsidRDefault="006C1F84" w:rsidP="006C1F84">
      <w:pPr>
        <w:pageBreakBefore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附件2</w:t>
      </w:r>
    </w:p>
    <w:p w:rsidR="006C1F84" w:rsidRPr="009B196A" w:rsidRDefault="006C1F84" w:rsidP="006C1F84">
      <w:pPr>
        <w:widowControl/>
        <w:spacing w:before="240"/>
        <w:jc w:val="center"/>
        <w:rPr>
          <w:rFonts w:ascii="黑体" w:eastAsia="黑体" w:hAnsi="黑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人工智能</w:t>
      </w:r>
      <w:r w:rsidRPr="00075DA8"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信息技术学院20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20</w:t>
      </w:r>
      <w:r w:rsidRPr="00075DA8"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年青年教师教学竞赛</w:t>
      </w:r>
      <w:r w:rsidRPr="009B196A"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教学论文选题范围</w:t>
      </w:r>
    </w:p>
    <w:p w:rsidR="006C1F84" w:rsidRDefault="006C1F84" w:rsidP="006C1F84">
      <w:pPr>
        <w:tabs>
          <w:tab w:val="left" w:pos="4619"/>
        </w:tabs>
        <w:spacing w:before="240"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1. 中医药学（或其他）专业教师教学发展研究</w:t>
      </w:r>
    </w:p>
    <w:p w:rsidR="006C1F84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2.</w:t>
      </w:r>
      <w:r>
        <w:rPr>
          <w:rFonts w:ascii="仿宋" w:eastAsia="仿宋" w:hAnsi="仿宋"/>
          <w:sz w:val="30"/>
          <w:szCs w:val="30"/>
          <w:lang w:val="zh-CN"/>
        </w:rPr>
        <w:t xml:space="preserve"> 基于中医药学</w:t>
      </w:r>
      <w:r>
        <w:rPr>
          <w:rFonts w:ascii="仿宋" w:eastAsia="仿宋" w:hAnsi="仿宋" w:hint="eastAsia"/>
          <w:sz w:val="30"/>
          <w:szCs w:val="30"/>
          <w:lang w:val="zh-CN"/>
        </w:rPr>
        <w:t>（或其他）</w:t>
      </w:r>
      <w:r>
        <w:rPr>
          <w:rFonts w:ascii="仿宋" w:eastAsia="仿宋" w:hAnsi="仿宋"/>
          <w:sz w:val="30"/>
          <w:szCs w:val="30"/>
          <w:lang w:val="zh-CN"/>
        </w:rPr>
        <w:t>专业人才培养目标的课程教学设计研究</w:t>
      </w:r>
    </w:p>
    <w:p w:rsidR="006C1F84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3. 中医药学（或其他）专业实践教学设计与实践</w:t>
      </w:r>
    </w:p>
    <w:p w:rsidR="006C1F84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4. 中医药学（或其他）专业学生创新意识和创业能力培养研究</w:t>
      </w:r>
    </w:p>
    <w:p w:rsidR="006C1F84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5.</w:t>
      </w:r>
      <w:r>
        <w:rPr>
          <w:rFonts w:ascii="仿宋" w:eastAsia="仿宋" w:hAnsi="仿宋"/>
          <w:sz w:val="30"/>
          <w:szCs w:val="30"/>
        </w:rPr>
        <w:t xml:space="preserve"> 以学生为中心的课堂教学研究与实践</w:t>
      </w:r>
    </w:p>
    <w:p w:rsidR="006C1F84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6. 形成性评价的研究与实践</w:t>
      </w:r>
    </w:p>
    <w:p w:rsidR="006C1F84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7.</w:t>
      </w:r>
      <w:r>
        <w:rPr>
          <w:rFonts w:ascii="仿宋" w:eastAsia="仿宋" w:hAnsi="仿宋"/>
          <w:sz w:val="30"/>
          <w:szCs w:val="30"/>
          <w:lang w:val="zh-CN"/>
        </w:rPr>
        <w:t xml:space="preserve"> </w:t>
      </w:r>
      <w:r>
        <w:rPr>
          <w:rFonts w:ascii="仿宋" w:eastAsia="仿宋" w:hAnsi="仿宋" w:hint="eastAsia"/>
          <w:sz w:val="30"/>
          <w:szCs w:val="30"/>
          <w:lang w:val="zh-CN"/>
        </w:rPr>
        <w:t>中医药思维培养的研究与实践</w:t>
      </w:r>
    </w:p>
    <w:p w:rsidR="006C1F84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8.</w:t>
      </w:r>
      <w:r>
        <w:rPr>
          <w:rFonts w:ascii="仿宋" w:eastAsia="仿宋" w:hAnsi="仿宋"/>
          <w:sz w:val="30"/>
          <w:szCs w:val="30"/>
          <w:lang w:val="zh-CN"/>
        </w:rPr>
        <w:t xml:space="preserve"> 现代信息技术在</w:t>
      </w:r>
      <w:r>
        <w:rPr>
          <w:rFonts w:ascii="仿宋" w:eastAsia="仿宋" w:hAnsi="仿宋" w:hint="eastAsia"/>
          <w:sz w:val="30"/>
          <w:szCs w:val="30"/>
          <w:lang w:val="zh-CN"/>
        </w:rPr>
        <w:t>中医药学（或其他）专业教学应用研究</w:t>
      </w:r>
    </w:p>
    <w:p w:rsidR="006C1F84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9.</w:t>
      </w:r>
      <w:r>
        <w:rPr>
          <w:rFonts w:ascii="仿宋" w:eastAsia="仿宋" w:hAnsi="仿宋"/>
          <w:sz w:val="30"/>
          <w:szCs w:val="30"/>
          <w:lang w:val="zh-CN"/>
        </w:rPr>
        <w:t xml:space="preserve"> </w:t>
      </w:r>
      <w:proofErr w:type="gramStart"/>
      <w:r>
        <w:rPr>
          <w:rFonts w:ascii="仿宋" w:eastAsia="仿宋" w:hAnsi="仿宋"/>
          <w:sz w:val="30"/>
          <w:szCs w:val="30"/>
          <w:lang w:val="zh-CN"/>
        </w:rPr>
        <w:t>课程思政融入</w:t>
      </w:r>
      <w:proofErr w:type="gramEnd"/>
      <w:r>
        <w:rPr>
          <w:rFonts w:ascii="仿宋" w:eastAsia="仿宋" w:hAnsi="仿宋" w:hint="eastAsia"/>
          <w:sz w:val="30"/>
          <w:szCs w:val="30"/>
          <w:lang w:val="zh-CN"/>
        </w:rPr>
        <w:t>中医药学（或其他）专业核心课程教学的研究与实践</w:t>
      </w:r>
    </w:p>
    <w:p w:rsidR="006C1F84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  <w:lang w:val="zh-CN"/>
        </w:rPr>
        <w:t>10.中医药学（或其他）专业核心课程的课程标准建设研究与实践</w:t>
      </w:r>
    </w:p>
    <w:p w:rsidR="006C1F84" w:rsidRPr="00C02B3E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C02B3E">
        <w:rPr>
          <w:rFonts w:ascii="仿宋" w:eastAsia="仿宋" w:hAnsi="仿宋"/>
          <w:sz w:val="30"/>
          <w:szCs w:val="30"/>
          <w:lang w:val="zh-CN"/>
        </w:rPr>
        <w:t>11.卓越医生教育培养计划2.0</w:t>
      </w:r>
      <w:r>
        <w:rPr>
          <w:rFonts w:ascii="仿宋" w:eastAsia="仿宋" w:hAnsi="仿宋" w:hint="eastAsia"/>
          <w:sz w:val="30"/>
          <w:szCs w:val="30"/>
          <w:lang w:val="zh-CN"/>
        </w:rPr>
        <w:t>背景</w:t>
      </w:r>
      <w:r w:rsidRPr="00C02B3E">
        <w:rPr>
          <w:rFonts w:ascii="仿宋" w:eastAsia="仿宋" w:hAnsi="仿宋" w:hint="eastAsia"/>
          <w:sz w:val="30"/>
          <w:szCs w:val="30"/>
          <w:lang w:val="zh-CN"/>
        </w:rPr>
        <w:t>下的</w:t>
      </w:r>
      <w:r>
        <w:rPr>
          <w:rFonts w:ascii="宋体" w:hAnsi="宋体" w:cs="宋体" w:hint="eastAsia"/>
          <w:sz w:val="30"/>
          <w:szCs w:val="30"/>
          <w:lang w:val="zh-CN"/>
        </w:rPr>
        <w:t>***</w:t>
      </w:r>
      <w:r>
        <w:rPr>
          <w:rFonts w:ascii="仿宋" w:eastAsia="仿宋" w:hAnsi="仿宋" w:hint="eastAsia"/>
          <w:sz w:val="30"/>
          <w:szCs w:val="30"/>
          <w:lang w:val="zh-CN"/>
        </w:rPr>
        <w:t>课程教学改革</w:t>
      </w:r>
      <w:r w:rsidRPr="00C02B3E">
        <w:rPr>
          <w:rFonts w:ascii="仿宋" w:eastAsia="仿宋" w:hAnsi="仿宋" w:hint="eastAsia"/>
          <w:sz w:val="30"/>
          <w:szCs w:val="30"/>
          <w:lang w:val="zh-CN"/>
        </w:rPr>
        <w:t>研究</w:t>
      </w:r>
    </w:p>
    <w:p w:rsidR="006C1F84" w:rsidRDefault="006C1F84" w:rsidP="006C1F84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12.基于“金课”的课堂教学模式创新研究</w:t>
      </w:r>
    </w:p>
    <w:p w:rsidR="006C1F84" w:rsidRDefault="006C1F84" w:rsidP="006C1F84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13.一流专业背景下教师课堂质量提升策略研究</w:t>
      </w:r>
    </w:p>
    <w:p w:rsidR="006C1F84" w:rsidRPr="00C02B3E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C02B3E">
        <w:rPr>
          <w:rFonts w:ascii="仿宋" w:eastAsia="仿宋" w:hAnsi="仿宋"/>
          <w:sz w:val="30"/>
          <w:szCs w:val="30"/>
          <w:lang w:val="zh-CN"/>
        </w:rPr>
        <w:lastRenderedPageBreak/>
        <w:t>1</w:t>
      </w:r>
      <w:r>
        <w:rPr>
          <w:rFonts w:ascii="仿宋" w:eastAsia="仿宋" w:hAnsi="仿宋" w:hint="eastAsia"/>
          <w:sz w:val="30"/>
          <w:szCs w:val="30"/>
        </w:rPr>
        <w:t>4</w:t>
      </w:r>
      <w:r w:rsidRPr="00C02B3E">
        <w:rPr>
          <w:rFonts w:ascii="仿宋" w:eastAsia="仿宋" w:hAnsi="仿宋"/>
          <w:sz w:val="30"/>
          <w:szCs w:val="30"/>
          <w:lang w:val="zh-CN"/>
        </w:rPr>
        <w:t>.基于信息化、智能化的教学资源整合模式研究</w:t>
      </w:r>
    </w:p>
    <w:p w:rsidR="006C1F84" w:rsidRPr="00C02B3E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C02B3E">
        <w:rPr>
          <w:rFonts w:ascii="仿宋" w:eastAsia="仿宋" w:hAnsi="仿宋"/>
          <w:sz w:val="30"/>
          <w:szCs w:val="30"/>
          <w:lang w:val="zh-CN"/>
        </w:rPr>
        <w:t>1</w:t>
      </w:r>
      <w:r>
        <w:rPr>
          <w:rFonts w:ascii="仿宋" w:eastAsia="仿宋" w:hAnsi="仿宋" w:hint="eastAsia"/>
          <w:sz w:val="30"/>
          <w:szCs w:val="30"/>
        </w:rPr>
        <w:t>5</w:t>
      </w:r>
      <w:r w:rsidRPr="00C02B3E">
        <w:rPr>
          <w:rFonts w:ascii="仿宋" w:eastAsia="仿宋" w:hAnsi="仿宋"/>
          <w:sz w:val="30"/>
          <w:szCs w:val="30"/>
          <w:lang w:val="zh-CN"/>
        </w:rPr>
        <w:t>.基于虚拟仿真技术的中医药学</w:t>
      </w:r>
      <w:r>
        <w:rPr>
          <w:rFonts w:ascii="仿宋" w:eastAsia="仿宋" w:hAnsi="仿宋" w:hint="eastAsia"/>
          <w:sz w:val="30"/>
          <w:szCs w:val="30"/>
          <w:lang w:val="zh-CN"/>
        </w:rPr>
        <w:t>（或其他）专业教学体系</w:t>
      </w:r>
      <w:r w:rsidRPr="00C02B3E">
        <w:rPr>
          <w:rFonts w:ascii="仿宋" w:eastAsia="仿宋" w:hAnsi="仿宋" w:hint="eastAsia"/>
          <w:sz w:val="30"/>
          <w:szCs w:val="30"/>
          <w:lang w:val="zh-CN"/>
        </w:rPr>
        <w:t>改革与实践</w:t>
      </w:r>
    </w:p>
    <w:p w:rsidR="006C1F84" w:rsidRPr="00C02B3E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C02B3E">
        <w:rPr>
          <w:rFonts w:ascii="仿宋" w:eastAsia="仿宋" w:hAnsi="仿宋"/>
          <w:sz w:val="30"/>
          <w:szCs w:val="30"/>
          <w:lang w:val="zh-CN"/>
        </w:rPr>
        <w:t>1</w:t>
      </w:r>
      <w:r>
        <w:rPr>
          <w:rFonts w:ascii="仿宋" w:eastAsia="仿宋" w:hAnsi="仿宋" w:hint="eastAsia"/>
          <w:sz w:val="30"/>
          <w:szCs w:val="30"/>
        </w:rPr>
        <w:t>6</w:t>
      </w:r>
      <w:r w:rsidRPr="00C02B3E">
        <w:rPr>
          <w:rFonts w:ascii="仿宋" w:eastAsia="仿宋" w:hAnsi="仿宋"/>
          <w:sz w:val="30"/>
          <w:szCs w:val="30"/>
          <w:lang w:val="zh-CN"/>
        </w:rPr>
        <w:t>.临床教学质量</w:t>
      </w:r>
      <w:r>
        <w:rPr>
          <w:rFonts w:ascii="仿宋" w:eastAsia="仿宋" w:hAnsi="仿宋" w:hint="eastAsia"/>
          <w:sz w:val="30"/>
          <w:szCs w:val="30"/>
          <w:lang w:val="zh-CN"/>
        </w:rPr>
        <w:t>存在的问题及对策研究</w:t>
      </w:r>
    </w:p>
    <w:p w:rsidR="006C1F84" w:rsidRPr="00C02B3E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C02B3E">
        <w:rPr>
          <w:rFonts w:ascii="仿宋" w:eastAsia="仿宋" w:hAnsi="仿宋"/>
          <w:sz w:val="30"/>
          <w:szCs w:val="30"/>
          <w:lang w:val="zh-CN"/>
        </w:rPr>
        <w:t>1</w:t>
      </w:r>
      <w:r>
        <w:rPr>
          <w:rFonts w:ascii="仿宋" w:eastAsia="仿宋" w:hAnsi="仿宋" w:hint="eastAsia"/>
          <w:sz w:val="30"/>
          <w:szCs w:val="30"/>
        </w:rPr>
        <w:t>7</w:t>
      </w:r>
      <w:r w:rsidRPr="00C02B3E">
        <w:rPr>
          <w:rFonts w:ascii="仿宋" w:eastAsia="仿宋" w:hAnsi="仿宋"/>
          <w:sz w:val="30"/>
          <w:szCs w:val="30"/>
          <w:lang w:val="zh-CN"/>
        </w:rPr>
        <w:t>.</w:t>
      </w:r>
      <w:r>
        <w:rPr>
          <w:rFonts w:ascii="仿宋" w:eastAsia="仿宋" w:hAnsi="仿宋" w:hint="eastAsia"/>
          <w:sz w:val="30"/>
          <w:szCs w:val="30"/>
          <w:lang w:val="zh-CN"/>
        </w:rPr>
        <w:t>基于</w:t>
      </w:r>
      <w:r w:rsidRPr="00C02B3E">
        <w:rPr>
          <w:rFonts w:ascii="仿宋" w:eastAsia="仿宋" w:hAnsi="仿宋"/>
          <w:sz w:val="30"/>
          <w:szCs w:val="30"/>
          <w:lang w:val="zh-CN"/>
        </w:rPr>
        <w:t>OBE理念的高校教学</w:t>
      </w:r>
      <w:r>
        <w:rPr>
          <w:rFonts w:ascii="仿宋" w:eastAsia="仿宋" w:hAnsi="仿宋" w:hint="eastAsia"/>
          <w:sz w:val="30"/>
          <w:szCs w:val="30"/>
          <w:lang w:val="zh-CN"/>
        </w:rPr>
        <w:t>模式</w:t>
      </w:r>
      <w:r w:rsidRPr="00C02B3E">
        <w:rPr>
          <w:rFonts w:ascii="仿宋" w:eastAsia="仿宋" w:hAnsi="仿宋"/>
          <w:sz w:val="30"/>
          <w:szCs w:val="30"/>
          <w:lang w:val="zh-CN"/>
        </w:rPr>
        <w:t>改革研究</w:t>
      </w:r>
    </w:p>
    <w:p w:rsidR="006C1F84" w:rsidRPr="00C02B3E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 w:rsidRPr="00C02B3E">
        <w:rPr>
          <w:rFonts w:ascii="仿宋" w:eastAsia="仿宋" w:hAnsi="仿宋"/>
          <w:sz w:val="30"/>
          <w:szCs w:val="30"/>
          <w:lang w:val="zh-CN"/>
        </w:rPr>
        <w:t>1</w:t>
      </w:r>
      <w:r>
        <w:rPr>
          <w:rFonts w:ascii="仿宋" w:eastAsia="仿宋" w:hAnsi="仿宋" w:hint="eastAsia"/>
          <w:sz w:val="30"/>
          <w:szCs w:val="30"/>
        </w:rPr>
        <w:t>8</w:t>
      </w:r>
      <w:r w:rsidRPr="00C02B3E">
        <w:rPr>
          <w:rFonts w:ascii="仿宋" w:eastAsia="仿宋" w:hAnsi="仿宋"/>
          <w:sz w:val="30"/>
          <w:szCs w:val="30"/>
          <w:lang w:val="zh-CN"/>
        </w:rPr>
        <w:t>.PBL/CBL/TBL教学模式在高校课程教学中的应用</w:t>
      </w:r>
    </w:p>
    <w:p w:rsidR="006C1F84" w:rsidRPr="00C02B3E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</w:rPr>
        <w:t>19</w:t>
      </w:r>
      <w:r w:rsidRPr="00C02B3E">
        <w:rPr>
          <w:rFonts w:ascii="仿宋" w:eastAsia="仿宋" w:hAnsi="仿宋"/>
          <w:sz w:val="30"/>
          <w:szCs w:val="30"/>
          <w:lang w:val="zh-CN"/>
        </w:rPr>
        <w:t>.双语课程的教学改革与国际化研究</w:t>
      </w:r>
    </w:p>
    <w:p w:rsidR="006C1F84" w:rsidRPr="00C02B3E" w:rsidRDefault="006C1F84" w:rsidP="006C1F84">
      <w:pPr>
        <w:tabs>
          <w:tab w:val="left" w:pos="4619"/>
        </w:tabs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val="zh-CN"/>
        </w:rPr>
      </w:pPr>
      <w:r>
        <w:rPr>
          <w:rFonts w:ascii="仿宋" w:eastAsia="仿宋" w:hAnsi="仿宋" w:hint="eastAsia"/>
          <w:sz w:val="30"/>
          <w:szCs w:val="30"/>
        </w:rPr>
        <w:t>20</w:t>
      </w:r>
      <w:r w:rsidRPr="00C02B3E">
        <w:rPr>
          <w:rFonts w:ascii="仿宋" w:eastAsia="仿宋" w:hAnsi="仿宋"/>
          <w:sz w:val="30"/>
          <w:szCs w:val="30"/>
          <w:lang w:val="zh-CN"/>
        </w:rPr>
        <w:t>.“一带一路”国际化背景下</w:t>
      </w:r>
      <w:r>
        <w:rPr>
          <w:rFonts w:ascii="宋体" w:hAnsi="宋体" w:cs="宋体" w:hint="eastAsia"/>
          <w:sz w:val="30"/>
          <w:szCs w:val="30"/>
          <w:lang w:val="zh-CN"/>
        </w:rPr>
        <w:t>***</w:t>
      </w:r>
      <w:r w:rsidRPr="00C02B3E">
        <w:rPr>
          <w:rFonts w:ascii="仿宋" w:eastAsia="仿宋" w:hAnsi="仿宋"/>
          <w:sz w:val="30"/>
          <w:szCs w:val="30"/>
          <w:lang w:val="zh-CN"/>
        </w:rPr>
        <w:t>专业学生的竞争力</w:t>
      </w:r>
      <w:r>
        <w:rPr>
          <w:rFonts w:ascii="仿宋" w:eastAsia="仿宋" w:hAnsi="仿宋" w:hint="eastAsia"/>
          <w:sz w:val="30"/>
          <w:szCs w:val="30"/>
          <w:lang w:val="zh-CN"/>
        </w:rPr>
        <w:t>培养</w:t>
      </w:r>
      <w:r w:rsidRPr="00C02B3E">
        <w:rPr>
          <w:rFonts w:ascii="仿宋" w:eastAsia="仿宋" w:hAnsi="仿宋"/>
          <w:sz w:val="30"/>
          <w:szCs w:val="30"/>
          <w:lang w:val="zh-CN"/>
        </w:rPr>
        <w:t>研究</w:t>
      </w:r>
    </w:p>
    <w:p w:rsidR="006C1F84" w:rsidRDefault="006C1F84" w:rsidP="006C1F84">
      <w:pPr>
        <w:widowControl/>
        <w:spacing w:before="240"/>
        <w:ind w:leftChars="-50" w:left="-105"/>
        <w:jc w:val="center"/>
        <w:rPr>
          <w:rFonts w:ascii="黑体" w:eastAsia="黑体" w:hAnsi="黑体"/>
          <w:sz w:val="36"/>
          <w:szCs w:val="36"/>
        </w:rPr>
      </w:pPr>
    </w:p>
    <w:p w:rsidR="006C1F84" w:rsidRDefault="006C1F84" w:rsidP="006C1F84">
      <w:pPr>
        <w:widowControl/>
        <w:spacing w:before="240"/>
        <w:ind w:leftChars="-50" w:left="-105"/>
        <w:jc w:val="center"/>
        <w:rPr>
          <w:rFonts w:ascii="黑体" w:eastAsia="黑体" w:hAnsi="黑体"/>
          <w:sz w:val="36"/>
          <w:szCs w:val="36"/>
        </w:rPr>
      </w:pPr>
    </w:p>
    <w:p w:rsidR="006C1F84" w:rsidRDefault="006C1F84" w:rsidP="006C1F84">
      <w:pPr>
        <w:widowControl/>
        <w:spacing w:before="240"/>
        <w:ind w:leftChars="-50" w:left="-105"/>
        <w:jc w:val="center"/>
        <w:rPr>
          <w:rFonts w:ascii="黑体" w:eastAsia="黑体" w:hAnsi="黑体"/>
          <w:sz w:val="36"/>
          <w:szCs w:val="36"/>
        </w:rPr>
      </w:pPr>
    </w:p>
    <w:p w:rsidR="006C1F84" w:rsidRDefault="006C1F84" w:rsidP="006C1F84">
      <w:pPr>
        <w:widowControl/>
        <w:spacing w:before="240"/>
        <w:ind w:leftChars="-50" w:left="-105"/>
        <w:jc w:val="center"/>
        <w:rPr>
          <w:rFonts w:ascii="黑体" w:eastAsia="黑体" w:hAnsi="黑体"/>
          <w:sz w:val="36"/>
          <w:szCs w:val="36"/>
        </w:rPr>
      </w:pPr>
    </w:p>
    <w:p w:rsidR="006C1F84" w:rsidRDefault="006C1F84" w:rsidP="006C1F84">
      <w:pPr>
        <w:widowControl/>
        <w:spacing w:before="240"/>
        <w:ind w:leftChars="-50" w:left="-105"/>
        <w:jc w:val="center"/>
        <w:rPr>
          <w:rFonts w:ascii="黑体" w:eastAsia="黑体" w:hAnsi="黑体"/>
          <w:sz w:val="36"/>
          <w:szCs w:val="36"/>
        </w:rPr>
      </w:pPr>
    </w:p>
    <w:p w:rsidR="006C1F84" w:rsidRDefault="006C1F84" w:rsidP="006C1F84">
      <w:pPr>
        <w:widowControl/>
        <w:spacing w:before="240"/>
        <w:ind w:leftChars="-50" w:left="-105"/>
        <w:jc w:val="center"/>
        <w:rPr>
          <w:rFonts w:ascii="黑体" w:eastAsia="黑体" w:hAnsi="黑体"/>
          <w:sz w:val="36"/>
          <w:szCs w:val="36"/>
        </w:rPr>
      </w:pPr>
    </w:p>
    <w:p w:rsidR="006C1F84" w:rsidRDefault="006C1F84" w:rsidP="006C1F84">
      <w:pPr>
        <w:widowControl/>
        <w:spacing w:before="240"/>
        <w:ind w:leftChars="-50" w:left="-105"/>
        <w:jc w:val="center"/>
        <w:rPr>
          <w:rFonts w:ascii="黑体" w:eastAsia="黑体" w:hAnsi="黑体"/>
          <w:sz w:val="36"/>
          <w:szCs w:val="36"/>
        </w:rPr>
      </w:pPr>
    </w:p>
    <w:p w:rsidR="006C1F84" w:rsidRDefault="006C1F84" w:rsidP="006C1F84">
      <w:pPr>
        <w:widowControl/>
        <w:spacing w:before="240"/>
        <w:ind w:leftChars="-50" w:left="-105"/>
        <w:jc w:val="center"/>
        <w:rPr>
          <w:rFonts w:ascii="黑体" w:eastAsia="黑体" w:hAnsi="黑体"/>
          <w:sz w:val="36"/>
          <w:szCs w:val="36"/>
        </w:rPr>
      </w:pPr>
    </w:p>
    <w:p w:rsidR="006C1F84" w:rsidRDefault="006C1F84" w:rsidP="006C1F84">
      <w:pPr>
        <w:widowControl/>
        <w:spacing w:before="240"/>
        <w:ind w:leftChars="-50" w:left="-105"/>
        <w:jc w:val="center"/>
        <w:rPr>
          <w:rFonts w:ascii="黑体" w:eastAsia="黑体" w:hAnsi="黑体"/>
          <w:sz w:val="36"/>
          <w:szCs w:val="36"/>
        </w:rPr>
      </w:pPr>
    </w:p>
    <w:p w:rsidR="009F6560" w:rsidRDefault="009F6560">
      <w:pPr>
        <w:rPr>
          <w:rFonts w:hint="eastAsia"/>
        </w:rPr>
      </w:pPr>
    </w:p>
    <w:p w:rsidR="00546E40" w:rsidRDefault="00546E40" w:rsidP="00546E40">
      <w:pPr>
        <w:jc w:val="center"/>
        <w:rPr>
          <w:rFonts w:ascii="黑体" w:eastAsia="黑体" w:hAnsi="仿宋" w:cs="仿宋"/>
          <w:spacing w:val="-10"/>
          <w:sz w:val="36"/>
          <w:szCs w:val="36"/>
        </w:rPr>
      </w:pPr>
      <w:r>
        <w:rPr>
          <w:rFonts w:ascii="黑体" w:eastAsia="黑体" w:hAnsi="仿宋" w:cs="仿宋" w:hint="eastAsia"/>
          <w:spacing w:val="-10"/>
          <w:sz w:val="36"/>
          <w:szCs w:val="36"/>
        </w:rPr>
        <w:lastRenderedPageBreak/>
        <w:t>教学论文评分细则</w:t>
      </w:r>
    </w:p>
    <w:p w:rsidR="00546E40" w:rsidRDefault="00546E40" w:rsidP="00546E40">
      <w:pPr>
        <w:snapToGrid w:val="0"/>
        <w:jc w:val="center"/>
        <w:rPr>
          <w:rFonts w:ascii="宋体" w:hAnsi="宋体"/>
          <w:sz w:val="28"/>
          <w:szCs w:val="28"/>
        </w:rPr>
      </w:pPr>
    </w:p>
    <w:tbl>
      <w:tblPr>
        <w:tblW w:w="9235" w:type="dxa"/>
        <w:tblInd w:w="-470" w:type="dxa"/>
        <w:tblCellMar>
          <w:left w:w="0" w:type="dxa"/>
          <w:right w:w="0" w:type="dxa"/>
        </w:tblCellMar>
        <w:tblLook w:val="04A0"/>
      </w:tblPr>
      <w:tblGrid>
        <w:gridCol w:w="2080"/>
        <w:gridCol w:w="5454"/>
        <w:gridCol w:w="1701"/>
      </w:tblGrid>
      <w:tr w:rsidR="00546E40" w:rsidTr="00D9160E">
        <w:trPr>
          <w:trHeight w:val="39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评审指标</w:t>
            </w:r>
          </w:p>
        </w:tc>
        <w:tc>
          <w:tcPr>
            <w:tcW w:w="5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评审标准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:rsidR="00546E40" w:rsidTr="00D9160E">
        <w:trPr>
          <w:trHeight w:val="1075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论文选题</w:t>
            </w:r>
          </w:p>
        </w:tc>
        <w:tc>
          <w:tcPr>
            <w:tcW w:w="5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选题密切结合中药学类专业教育教学发展实际，针对关键问题，具有前瞻性和现实意义，其理论价值和实用价值对中药学类专业人才培养具有借鉴意义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546E40" w:rsidTr="00D9160E">
        <w:trPr>
          <w:trHeight w:val="79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研究内容</w:t>
            </w:r>
          </w:p>
        </w:tc>
        <w:tc>
          <w:tcPr>
            <w:tcW w:w="5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论点明确，论据充分，具有科学性和创新性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546E40" w:rsidTr="00D9160E">
        <w:trPr>
          <w:trHeight w:val="79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研究方法</w:t>
            </w:r>
          </w:p>
        </w:tc>
        <w:tc>
          <w:tcPr>
            <w:tcW w:w="5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能够运用教育教学研究方法进行相关研究，方法科学、应用得当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546E40" w:rsidTr="00D9160E">
        <w:trPr>
          <w:trHeight w:val="79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研究结果</w:t>
            </w:r>
          </w:p>
        </w:tc>
        <w:tc>
          <w:tcPr>
            <w:tcW w:w="5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数据翔实，结果可信，结论准确，具有一定的应用价值和推广意义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546E40" w:rsidTr="00D9160E">
        <w:trPr>
          <w:trHeight w:val="79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写作水平</w:t>
            </w:r>
          </w:p>
        </w:tc>
        <w:tc>
          <w:tcPr>
            <w:tcW w:w="5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widowControl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论证严谨，结构完整，条理清晰，逻辑严密；格式规范，语言准确，文字流畅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546E40" w:rsidTr="00D9160E">
        <w:trPr>
          <w:trHeight w:val="79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71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6E40" w:rsidTr="00D9160E">
        <w:trPr>
          <w:trHeight w:val="799"/>
        </w:trPr>
        <w:tc>
          <w:tcPr>
            <w:tcW w:w="2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</w:rPr>
              <w:t>减分项目</w:t>
            </w:r>
          </w:p>
        </w:tc>
        <w:tc>
          <w:tcPr>
            <w:tcW w:w="715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rPr>
                <w:rFonts w:ascii="黑体" w:eastAsia="黑体" w:hAnsi="黑体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</w:rPr>
              <w:t>选手在比赛过程中泄露个人信息，由评审组长从该环节平均分中扣除30分。</w:t>
            </w:r>
          </w:p>
        </w:tc>
      </w:tr>
      <w:tr w:rsidR="00546E40" w:rsidTr="00D9160E">
        <w:trPr>
          <w:trHeight w:val="7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E40" w:rsidRDefault="00546E40" w:rsidP="00D9160E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71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rPr>
                <w:rFonts w:ascii="黑体" w:eastAsia="黑体" w:hAnsi="黑体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</w:rPr>
              <w:t>论文（全文）重复率超过30%，取消该环节竞赛成绩。</w:t>
            </w:r>
          </w:p>
        </w:tc>
      </w:tr>
      <w:tr w:rsidR="00546E40" w:rsidTr="00D9160E">
        <w:trPr>
          <w:trHeight w:val="7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6E40" w:rsidRDefault="00546E40" w:rsidP="00D9160E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71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546E40" w:rsidRDefault="00546E40" w:rsidP="00D9160E">
            <w:pPr>
              <w:rPr>
                <w:rFonts w:ascii="黑体" w:eastAsia="黑体" w:hAnsi="黑体"/>
                <w:b/>
                <w:bCs/>
                <w:color w:val="000000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</w:rPr>
              <w:t>正文字数不足3150字，或超过5500字，由评审组长从该环节平均分中扣除10分。</w:t>
            </w:r>
          </w:p>
        </w:tc>
      </w:tr>
    </w:tbl>
    <w:p w:rsidR="00546E40" w:rsidRDefault="00546E40" w:rsidP="00546E40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546E40" w:rsidRPr="009F4AB1" w:rsidRDefault="00546E40" w:rsidP="00546E40"/>
    <w:p w:rsidR="00546E40" w:rsidRPr="00331E1C" w:rsidRDefault="00546E40" w:rsidP="00546E40"/>
    <w:p w:rsidR="00546E40" w:rsidRPr="00546E40" w:rsidRDefault="00546E40" w:rsidP="00546E40">
      <w:pPr>
        <w:widowControl/>
        <w:jc w:val="left"/>
      </w:pPr>
    </w:p>
    <w:sectPr w:rsidR="00546E40" w:rsidRPr="00546E40" w:rsidSect="009F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F84"/>
    <w:rsid w:val="00434EC6"/>
    <w:rsid w:val="00546E40"/>
    <w:rsid w:val="006C1F84"/>
    <w:rsid w:val="009F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2020-09-29T07:17:00Z</dcterms:created>
  <dcterms:modified xsi:type="dcterms:W3CDTF">2020-09-29T07:18:00Z</dcterms:modified>
</cp:coreProperties>
</file>