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80AF1" w14:textId="77777777" w:rsidR="00D017BC" w:rsidRPr="00D017BC" w:rsidRDefault="00D017BC" w:rsidP="00D017BC">
      <w:pPr>
        <w:adjustRightInd w:val="0"/>
        <w:snapToGrid w:val="0"/>
        <w:spacing w:line="360" w:lineRule="auto"/>
        <w:jc w:val="center"/>
        <w:rPr>
          <w:rFonts w:ascii="宋体" w:eastAsia="宋体" w:hAnsi="宋体"/>
          <w:b/>
          <w:sz w:val="28"/>
        </w:rPr>
      </w:pPr>
      <w:r w:rsidRPr="00D017BC">
        <w:rPr>
          <w:rFonts w:ascii="宋体" w:eastAsia="宋体" w:hAnsi="宋体" w:hint="eastAsia"/>
          <w:b/>
          <w:sz w:val="28"/>
        </w:rPr>
        <w:t>南京中医药大学研究生学位论文学术不端检测结果处理办法</w:t>
      </w:r>
    </w:p>
    <w:p w14:paraId="73468727" w14:textId="77777777" w:rsidR="00D017BC" w:rsidRPr="00D017BC" w:rsidRDefault="00D017BC" w:rsidP="00D017BC">
      <w:pPr>
        <w:adjustRightInd w:val="0"/>
        <w:snapToGrid w:val="0"/>
        <w:spacing w:line="360" w:lineRule="auto"/>
        <w:ind w:firstLineChars="200" w:firstLine="480"/>
        <w:rPr>
          <w:rFonts w:ascii="宋体" w:eastAsia="宋体" w:hAnsi="宋体"/>
          <w:sz w:val="24"/>
        </w:rPr>
      </w:pPr>
      <w:r w:rsidRPr="00D017BC">
        <w:rPr>
          <w:rFonts w:ascii="宋体" w:eastAsia="宋体" w:hAnsi="宋体" w:hint="eastAsia"/>
          <w:sz w:val="24"/>
        </w:rPr>
        <w:t>为加强学位论文的学术道德规范，严格杜绝学术不端行为，对当年申请学位的学位论文需进行学术不端检测，现对检测的结果做出以下处理办法：</w:t>
      </w:r>
    </w:p>
    <w:p w14:paraId="1BBB29B2" w14:textId="7128C153" w:rsidR="00D017BC" w:rsidRPr="00D017BC" w:rsidRDefault="00D017BC" w:rsidP="00D017BC">
      <w:pPr>
        <w:adjustRightInd w:val="0"/>
        <w:snapToGrid w:val="0"/>
        <w:spacing w:line="360" w:lineRule="auto"/>
        <w:rPr>
          <w:rFonts w:ascii="宋体" w:eastAsia="宋体" w:hAnsi="宋体" w:hint="eastAsia"/>
          <w:sz w:val="24"/>
        </w:rPr>
      </w:pPr>
      <w:r w:rsidRPr="00D017BC">
        <w:rPr>
          <w:rFonts w:ascii="宋体" w:eastAsia="宋体" w:hAnsi="宋体" w:hint="eastAsia"/>
          <w:sz w:val="24"/>
        </w:rPr>
        <w:t>一、检测对象：当年申请学位的境内外硕、博士研究生，含同等学力申请学位人员及专业学位研究生。</w:t>
      </w:r>
    </w:p>
    <w:p w14:paraId="5EA6BBE8" w14:textId="438D759A" w:rsidR="00D017BC" w:rsidRPr="00D017BC" w:rsidRDefault="00D017BC" w:rsidP="00D017BC">
      <w:pPr>
        <w:adjustRightInd w:val="0"/>
        <w:snapToGrid w:val="0"/>
        <w:spacing w:line="360" w:lineRule="auto"/>
        <w:rPr>
          <w:rFonts w:ascii="宋体" w:eastAsia="宋体" w:hAnsi="宋体" w:hint="eastAsia"/>
          <w:sz w:val="24"/>
        </w:rPr>
      </w:pPr>
      <w:r w:rsidRPr="00D017BC">
        <w:rPr>
          <w:rFonts w:ascii="宋体" w:eastAsia="宋体" w:hAnsi="宋体" w:hint="eastAsia"/>
          <w:sz w:val="24"/>
        </w:rPr>
        <w:t>二、检测时间：上半年在三月底进行，下半年在十月初进行，具体以研究生院相关通知为准。</w:t>
      </w:r>
    </w:p>
    <w:p w14:paraId="7E16C9E9" w14:textId="24E576E1" w:rsidR="00D017BC" w:rsidRPr="00D017BC" w:rsidRDefault="00D017BC" w:rsidP="00D017BC">
      <w:pPr>
        <w:adjustRightInd w:val="0"/>
        <w:snapToGrid w:val="0"/>
        <w:spacing w:line="360" w:lineRule="auto"/>
        <w:rPr>
          <w:rFonts w:ascii="宋体" w:eastAsia="宋体" w:hAnsi="宋体" w:hint="eastAsia"/>
          <w:sz w:val="24"/>
        </w:rPr>
      </w:pPr>
      <w:r w:rsidRPr="00D017BC">
        <w:rPr>
          <w:rFonts w:ascii="宋体" w:eastAsia="宋体" w:hAnsi="宋体" w:hint="eastAsia"/>
          <w:sz w:val="24"/>
        </w:rPr>
        <w:t>三、检测方法：研究生通过学生服务系统上</w:t>
      </w:r>
      <w:proofErr w:type="gramStart"/>
      <w:r w:rsidRPr="00D017BC">
        <w:rPr>
          <w:rFonts w:ascii="宋体" w:eastAsia="宋体" w:hAnsi="宋体" w:hint="eastAsia"/>
          <w:sz w:val="24"/>
        </w:rPr>
        <w:t>传符合</w:t>
      </w:r>
      <w:proofErr w:type="gramEnd"/>
      <w:r w:rsidRPr="00D017BC">
        <w:rPr>
          <w:rFonts w:ascii="宋体" w:eastAsia="宋体" w:hAnsi="宋体" w:hint="eastAsia"/>
          <w:sz w:val="24"/>
        </w:rPr>
        <w:t>规定的学位论文，论文的格式要求参考《南京中医药大学学位论文基本格式规范》，提交论文同时用于盲审，需隐去作者姓名及导师姓名等信息。</w:t>
      </w:r>
    </w:p>
    <w:p w14:paraId="5E3050E4" w14:textId="6D12436C" w:rsidR="00D017BC" w:rsidRPr="00D017BC" w:rsidRDefault="00D017BC" w:rsidP="00D017BC">
      <w:pPr>
        <w:adjustRightInd w:val="0"/>
        <w:snapToGrid w:val="0"/>
        <w:spacing w:line="360" w:lineRule="auto"/>
        <w:rPr>
          <w:rFonts w:ascii="宋体" w:eastAsia="宋体" w:hAnsi="宋体" w:hint="eastAsia"/>
          <w:sz w:val="24"/>
        </w:rPr>
      </w:pPr>
      <w:r w:rsidRPr="00D017BC">
        <w:rPr>
          <w:rFonts w:ascii="宋体" w:eastAsia="宋体" w:hAnsi="宋体" w:hint="eastAsia"/>
          <w:sz w:val="24"/>
        </w:rPr>
        <w:t>四、检测工具</w:t>
      </w:r>
      <w:r w:rsidRPr="00D017BC">
        <w:rPr>
          <w:rFonts w:ascii="宋体" w:eastAsia="宋体" w:hAnsi="宋体"/>
          <w:sz w:val="24"/>
        </w:rPr>
        <w:t>:使用</w:t>
      </w:r>
      <w:proofErr w:type="gramStart"/>
      <w:r w:rsidRPr="00D017BC">
        <w:rPr>
          <w:rFonts w:ascii="宋体" w:eastAsia="宋体" w:hAnsi="宋体"/>
          <w:sz w:val="24"/>
        </w:rPr>
        <w:t>中国知网《学位论文学术不端检测系统》</w:t>
      </w:r>
      <w:proofErr w:type="gramEnd"/>
      <w:r w:rsidRPr="00D017BC">
        <w:rPr>
          <w:rFonts w:ascii="宋体" w:eastAsia="宋体" w:hAnsi="宋体"/>
          <w:sz w:val="24"/>
        </w:rPr>
        <w:t>进行检测。</w:t>
      </w:r>
    </w:p>
    <w:p w14:paraId="49919F16" w14:textId="70B17BA5" w:rsidR="00D017BC" w:rsidRPr="00D017BC" w:rsidRDefault="00D017BC" w:rsidP="00D017BC">
      <w:pPr>
        <w:adjustRightInd w:val="0"/>
        <w:snapToGrid w:val="0"/>
        <w:spacing w:line="360" w:lineRule="auto"/>
        <w:rPr>
          <w:rFonts w:ascii="宋体" w:eastAsia="宋体" w:hAnsi="宋体" w:hint="eastAsia"/>
          <w:sz w:val="24"/>
        </w:rPr>
      </w:pPr>
      <w:r w:rsidRPr="00D017BC">
        <w:rPr>
          <w:rFonts w:ascii="宋体" w:eastAsia="宋体" w:hAnsi="宋体" w:hint="eastAsia"/>
          <w:sz w:val="24"/>
        </w:rPr>
        <w:t>五、检测方法：由各学院研究生秘书负责本学院研究生学位论文的统一检测，并将检测结果及超过检测重合率的论证报告上传至研究生管理系统，以便研究生、导师及</w:t>
      </w:r>
      <w:proofErr w:type="gramStart"/>
      <w:r w:rsidRPr="00D017BC">
        <w:rPr>
          <w:rFonts w:ascii="宋体" w:eastAsia="宋体" w:hAnsi="宋体" w:hint="eastAsia"/>
          <w:sz w:val="24"/>
        </w:rPr>
        <w:t>盲审专家</w:t>
      </w:r>
      <w:proofErr w:type="gramEnd"/>
      <w:r w:rsidRPr="00D017BC">
        <w:rPr>
          <w:rFonts w:ascii="宋体" w:eastAsia="宋体" w:hAnsi="宋体" w:hint="eastAsia"/>
          <w:sz w:val="24"/>
        </w:rPr>
        <w:t>查看。</w:t>
      </w:r>
    </w:p>
    <w:p w14:paraId="3F6BA095" w14:textId="63E15B0E" w:rsidR="00D017BC" w:rsidRPr="00D017BC" w:rsidRDefault="00D017BC" w:rsidP="00D017BC">
      <w:pPr>
        <w:adjustRightInd w:val="0"/>
        <w:snapToGrid w:val="0"/>
        <w:spacing w:line="360" w:lineRule="auto"/>
        <w:rPr>
          <w:rFonts w:ascii="宋体" w:eastAsia="宋体" w:hAnsi="宋体" w:hint="eastAsia"/>
          <w:sz w:val="24"/>
        </w:rPr>
      </w:pPr>
      <w:r w:rsidRPr="00D017BC">
        <w:rPr>
          <w:rFonts w:ascii="宋体" w:eastAsia="宋体" w:hAnsi="宋体" w:hint="eastAsia"/>
          <w:sz w:val="24"/>
        </w:rPr>
        <w:t>六、检测标准：博士学位论文去除引用文字重合率不超过</w:t>
      </w:r>
      <w:r w:rsidRPr="00D017BC">
        <w:rPr>
          <w:rFonts w:ascii="宋体" w:eastAsia="宋体" w:hAnsi="宋体"/>
          <w:sz w:val="24"/>
        </w:rPr>
        <w:t>15%，硕士学位论文去除引用文字重合率不超过20%。每名研究生只能上传一次学位论文且只能检测一次。</w:t>
      </w:r>
    </w:p>
    <w:p w14:paraId="4E8788F1" w14:textId="576F1A80" w:rsidR="00D017BC" w:rsidRPr="00D017BC" w:rsidRDefault="00D017BC" w:rsidP="00D017BC">
      <w:pPr>
        <w:adjustRightInd w:val="0"/>
        <w:snapToGrid w:val="0"/>
        <w:spacing w:line="360" w:lineRule="auto"/>
        <w:rPr>
          <w:rFonts w:ascii="宋体" w:eastAsia="宋体" w:hAnsi="宋体" w:hint="eastAsia"/>
          <w:sz w:val="24"/>
        </w:rPr>
      </w:pPr>
      <w:r w:rsidRPr="00D017BC">
        <w:rPr>
          <w:rFonts w:ascii="宋体" w:eastAsia="宋体" w:hAnsi="宋体" w:hint="eastAsia"/>
          <w:sz w:val="24"/>
        </w:rPr>
        <w:t>七、处理办法：</w:t>
      </w:r>
    </w:p>
    <w:p w14:paraId="6EEBA1CF" w14:textId="5C588859" w:rsidR="00D017BC" w:rsidRPr="00D017BC" w:rsidRDefault="00D017BC" w:rsidP="00D017BC">
      <w:pPr>
        <w:adjustRightInd w:val="0"/>
        <w:snapToGrid w:val="0"/>
        <w:spacing w:line="360" w:lineRule="auto"/>
        <w:rPr>
          <w:rFonts w:ascii="宋体" w:eastAsia="宋体" w:hAnsi="宋体" w:hint="eastAsia"/>
          <w:sz w:val="24"/>
        </w:rPr>
      </w:pPr>
      <w:r w:rsidRPr="00D017BC">
        <w:rPr>
          <w:rFonts w:ascii="宋体" w:eastAsia="宋体" w:hAnsi="宋体"/>
          <w:sz w:val="24"/>
        </w:rPr>
        <w:t>1、全文文字复制比（去除引用）超过检测标准且低于30%以下的学位论文，（引用古典医籍文献，公认的原理、方法和公式，诊断标准，通用问卷，研究生作为第一作者在校期间发表论文等内容除外），原则上由导师结合检测报告对论文进行审查，并认定学位论文主体内容中是否存在学术不端行为。根据认定结果，导师可做出修改后送审、或推迟答辩两者之一的具体处理意见。</w:t>
      </w:r>
    </w:p>
    <w:p w14:paraId="60AB809A" w14:textId="77777777" w:rsidR="00D017BC" w:rsidRPr="00D017BC" w:rsidRDefault="00D017BC" w:rsidP="00D017BC">
      <w:pPr>
        <w:adjustRightInd w:val="0"/>
        <w:snapToGrid w:val="0"/>
        <w:spacing w:line="360" w:lineRule="auto"/>
        <w:rPr>
          <w:rFonts w:ascii="宋体" w:eastAsia="宋体" w:hAnsi="宋体"/>
          <w:sz w:val="24"/>
        </w:rPr>
      </w:pPr>
      <w:r w:rsidRPr="00D017BC">
        <w:rPr>
          <w:rFonts w:ascii="宋体" w:eastAsia="宋体" w:hAnsi="宋体"/>
          <w:sz w:val="24"/>
        </w:rPr>
        <w:t>2、全文文字复制比（去除引用）在30%—50%的学位论文（引用古典医籍文献，公认的原理、方法和公式，诊断标准，通用问卷，研究生作为第一作者在校期间发表论文等内容除外），要求所在学院</w:t>
      </w:r>
      <w:proofErr w:type="gramStart"/>
      <w:r w:rsidRPr="00D017BC">
        <w:rPr>
          <w:rFonts w:ascii="宋体" w:eastAsia="宋体" w:hAnsi="宋体"/>
          <w:sz w:val="24"/>
        </w:rPr>
        <w:t>评定分</w:t>
      </w:r>
      <w:proofErr w:type="gramEnd"/>
      <w:r w:rsidRPr="00D017BC">
        <w:rPr>
          <w:rFonts w:ascii="宋体" w:eastAsia="宋体" w:hAnsi="宋体"/>
          <w:sz w:val="24"/>
        </w:rPr>
        <w:t>委员会组织相关专家对该论文进行审查，并给出认定结果，同时需将学术不端检测报告提供给评审专家，评审专家将结合检测报告对学位论文主体部分是否存在学术不端行为进行评审并给出结论。并给出修改后送审或推迟答辩两者之一的处理意见。</w:t>
      </w:r>
    </w:p>
    <w:p w14:paraId="2E717E45" w14:textId="77777777" w:rsidR="00D017BC" w:rsidRPr="00D017BC" w:rsidRDefault="00D017BC" w:rsidP="00D017BC">
      <w:pPr>
        <w:adjustRightInd w:val="0"/>
        <w:snapToGrid w:val="0"/>
        <w:spacing w:line="360" w:lineRule="auto"/>
        <w:rPr>
          <w:rFonts w:ascii="宋体" w:eastAsia="宋体" w:hAnsi="宋体"/>
          <w:sz w:val="24"/>
        </w:rPr>
      </w:pPr>
    </w:p>
    <w:p w14:paraId="256B24A3" w14:textId="4B73B518" w:rsidR="00D017BC" w:rsidRPr="00D017BC" w:rsidRDefault="00D017BC" w:rsidP="00D017BC">
      <w:pPr>
        <w:adjustRightInd w:val="0"/>
        <w:snapToGrid w:val="0"/>
        <w:spacing w:line="360" w:lineRule="auto"/>
        <w:rPr>
          <w:rFonts w:ascii="宋体" w:eastAsia="宋体" w:hAnsi="宋体" w:hint="eastAsia"/>
          <w:sz w:val="24"/>
        </w:rPr>
      </w:pPr>
      <w:r w:rsidRPr="00D017BC">
        <w:rPr>
          <w:rFonts w:ascii="宋体" w:eastAsia="宋体" w:hAnsi="宋体"/>
          <w:sz w:val="24"/>
        </w:rPr>
        <w:lastRenderedPageBreak/>
        <w:t>3、全文复制比超过50%的学位论文，不能参加当次的学位论文盲审工作，需修改满半年后重新提交学术不端检测。</w:t>
      </w:r>
    </w:p>
    <w:p w14:paraId="55F3E3F9" w14:textId="30F72FBD" w:rsidR="00D017BC" w:rsidRPr="00D017BC" w:rsidRDefault="00D017BC" w:rsidP="00D017BC">
      <w:pPr>
        <w:adjustRightInd w:val="0"/>
        <w:snapToGrid w:val="0"/>
        <w:spacing w:line="360" w:lineRule="auto"/>
        <w:rPr>
          <w:rFonts w:ascii="宋体" w:eastAsia="宋体" w:hAnsi="宋体" w:hint="eastAsia"/>
          <w:sz w:val="24"/>
        </w:rPr>
      </w:pPr>
      <w:r w:rsidRPr="00D017BC">
        <w:rPr>
          <w:rFonts w:ascii="宋体" w:eastAsia="宋体" w:hAnsi="宋体"/>
          <w:sz w:val="24"/>
        </w:rPr>
        <w:t>4、以上1、2处理意见需填写《南京中医药大学研究生学位论文学术不端检测结果反馈处理意见表》</w:t>
      </w:r>
    </w:p>
    <w:p w14:paraId="595C32DB" w14:textId="15EF2D38" w:rsidR="00D017BC" w:rsidRPr="00D017BC" w:rsidRDefault="00D017BC" w:rsidP="00D017BC">
      <w:pPr>
        <w:adjustRightInd w:val="0"/>
        <w:snapToGrid w:val="0"/>
        <w:spacing w:line="360" w:lineRule="auto"/>
        <w:rPr>
          <w:rFonts w:ascii="宋体" w:eastAsia="宋体" w:hAnsi="宋体" w:hint="eastAsia"/>
          <w:sz w:val="24"/>
        </w:rPr>
      </w:pPr>
      <w:r w:rsidRPr="00D017BC">
        <w:rPr>
          <w:rFonts w:ascii="宋体" w:eastAsia="宋体" w:hAnsi="宋体" w:hint="eastAsia"/>
          <w:sz w:val="24"/>
        </w:rPr>
        <w:t>八、重合率超过检测标准的学位论文需导师或学位</w:t>
      </w:r>
      <w:proofErr w:type="gramStart"/>
      <w:r w:rsidRPr="00D017BC">
        <w:rPr>
          <w:rFonts w:ascii="宋体" w:eastAsia="宋体" w:hAnsi="宋体" w:hint="eastAsia"/>
          <w:sz w:val="24"/>
        </w:rPr>
        <w:t>评定分</w:t>
      </w:r>
      <w:proofErr w:type="gramEnd"/>
      <w:r w:rsidRPr="00D017BC">
        <w:rPr>
          <w:rFonts w:ascii="宋体" w:eastAsia="宋体" w:hAnsi="宋体" w:hint="eastAsia"/>
          <w:sz w:val="24"/>
        </w:rPr>
        <w:t>委员会认定符合提交标准后方可参加学位论文盲审工作。</w:t>
      </w:r>
      <w:bookmarkStart w:id="0" w:name="_GoBack"/>
      <w:bookmarkEnd w:id="0"/>
    </w:p>
    <w:p w14:paraId="4B4F6C63" w14:textId="4117D0FA" w:rsidR="00A3391C" w:rsidRPr="00D017BC" w:rsidRDefault="00D017BC" w:rsidP="00D017BC">
      <w:pPr>
        <w:adjustRightInd w:val="0"/>
        <w:snapToGrid w:val="0"/>
        <w:spacing w:line="360" w:lineRule="auto"/>
        <w:rPr>
          <w:rFonts w:ascii="宋体" w:eastAsia="宋体" w:hAnsi="宋体"/>
          <w:sz w:val="24"/>
        </w:rPr>
      </w:pPr>
      <w:r w:rsidRPr="00D017BC">
        <w:rPr>
          <w:rFonts w:ascii="宋体" w:eastAsia="宋体" w:hAnsi="宋体" w:hint="eastAsia"/>
          <w:sz w:val="24"/>
        </w:rPr>
        <w:t>附件：南京中医药大学研究生学位论文学术不端检测结果反馈处理意见表南京中医药大学研究生学位论文学术不端检测结果反馈意见表</w:t>
      </w:r>
      <w:r w:rsidRPr="00D017BC">
        <w:rPr>
          <w:rFonts w:ascii="宋体" w:eastAsia="宋体" w:hAnsi="宋体"/>
          <w:sz w:val="24"/>
        </w:rPr>
        <w:t>.doc</w:t>
      </w:r>
    </w:p>
    <w:sectPr w:rsidR="00A3391C" w:rsidRPr="00D017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A4BF2E" w14:textId="77777777" w:rsidR="00036180" w:rsidRDefault="00036180" w:rsidP="00D017BC">
      <w:r>
        <w:separator/>
      </w:r>
    </w:p>
  </w:endnote>
  <w:endnote w:type="continuationSeparator" w:id="0">
    <w:p w14:paraId="7D2FC34A" w14:textId="77777777" w:rsidR="00036180" w:rsidRDefault="00036180" w:rsidP="00D01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811AB" w14:textId="77777777" w:rsidR="00036180" w:rsidRDefault="00036180" w:rsidP="00D017BC">
      <w:r>
        <w:separator/>
      </w:r>
    </w:p>
  </w:footnote>
  <w:footnote w:type="continuationSeparator" w:id="0">
    <w:p w14:paraId="1EA5722E" w14:textId="77777777" w:rsidR="00036180" w:rsidRDefault="00036180" w:rsidP="00D017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A1F"/>
    <w:rsid w:val="00036180"/>
    <w:rsid w:val="00A3391C"/>
    <w:rsid w:val="00D017BC"/>
    <w:rsid w:val="00FD6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54B175"/>
  <w15:chartTrackingRefBased/>
  <w15:docId w15:val="{CFDA9F60-5109-4BCF-AB3B-B21A4D768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17B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017BC"/>
    <w:rPr>
      <w:sz w:val="18"/>
      <w:szCs w:val="18"/>
    </w:rPr>
  </w:style>
  <w:style w:type="paragraph" w:styleId="a5">
    <w:name w:val="footer"/>
    <w:basedOn w:val="a"/>
    <w:link w:val="a6"/>
    <w:uiPriority w:val="99"/>
    <w:unhideWhenUsed/>
    <w:rsid w:val="00D017BC"/>
    <w:pPr>
      <w:tabs>
        <w:tab w:val="center" w:pos="4153"/>
        <w:tab w:val="right" w:pos="8306"/>
      </w:tabs>
      <w:snapToGrid w:val="0"/>
      <w:jc w:val="left"/>
    </w:pPr>
    <w:rPr>
      <w:sz w:val="18"/>
      <w:szCs w:val="18"/>
    </w:rPr>
  </w:style>
  <w:style w:type="character" w:customStyle="1" w:styleId="a6">
    <w:name w:val="页脚 字符"/>
    <w:basedOn w:val="a0"/>
    <w:link w:val="a5"/>
    <w:uiPriority w:val="99"/>
    <w:rsid w:val="00D017B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9791032">
      <w:bodyDiv w:val="1"/>
      <w:marLeft w:val="0"/>
      <w:marRight w:val="0"/>
      <w:marTop w:val="0"/>
      <w:marBottom w:val="0"/>
      <w:divBdr>
        <w:top w:val="none" w:sz="0" w:space="0" w:color="auto"/>
        <w:left w:val="none" w:sz="0" w:space="0" w:color="auto"/>
        <w:bottom w:val="none" w:sz="0" w:space="0" w:color="auto"/>
        <w:right w:val="none" w:sz="0" w:space="0" w:color="auto"/>
      </w:divBdr>
      <w:divsChild>
        <w:div w:id="606351202">
          <w:marLeft w:val="0"/>
          <w:marRight w:val="0"/>
          <w:marTop w:val="0"/>
          <w:marBottom w:val="0"/>
          <w:divBdr>
            <w:top w:val="none" w:sz="0" w:space="0" w:color="auto"/>
            <w:left w:val="none" w:sz="0" w:space="0" w:color="auto"/>
            <w:bottom w:val="none" w:sz="0" w:space="0" w:color="auto"/>
            <w:right w:val="none" w:sz="0" w:space="0" w:color="auto"/>
          </w:divBdr>
          <w:divsChild>
            <w:div w:id="4056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157</Words>
  <Characters>895</Characters>
  <Application>Microsoft Office Word</Application>
  <DocSecurity>0</DocSecurity>
  <Lines>7</Lines>
  <Paragraphs>2</Paragraphs>
  <ScaleCrop>false</ScaleCrop>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RGZN</dc:creator>
  <cp:keywords/>
  <dc:description/>
  <cp:lastModifiedBy>RGZN</cp:lastModifiedBy>
  <cp:revision>2</cp:revision>
  <dcterms:created xsi:type="dcterms:W3CDTF">2021-03-05T08:01:00Z</dcterms:created>
  <dcterms:modified xsi:type="dcterms:W3CDTF">2021-03-05T08:05:00Z</dcterms:modified>
</cp:coreProperties>
</file>