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widowControl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/>
          <w:kern w:val="0"/>
          <w:sz w:val="44"/>
          <w:szCs w:val="44"/>
        </w:rPr>
        <w:t>赠送手机流量统计表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905"/>
        <w:gridCol w:w="2310"/>
        <w:gridCol w:w="1860"/>
        <w:gridCol w:w="2130"/>
        <w:gridCol w:w="157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ascii="等线" w:hAnsi="等线" w:eastAsia="等线"/>
                <w:b/>
                <w:sz w:val="28"/>
                <w:szCs w:val="28"/>
              </w:rPr>
              <w:t>序号</w:t>
            </w: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ascii="等线" w:hAnsi="等线" w:eastAsia="等线"/>
                <w:b/>
                <w:sz w:val="28"/>
                <w:szCs w:val="28"/>
              </w:rPr>
              <w:t>学段</w:t>
            </w: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ascii="等线" w:hAnsi="等线" w:eastAsia="等线"/>
                <w:b/>
                <w:sz w:val="28"/>
                <w:szCs w:val="28"/>
              </w:rPr>
              <w:t>学校名称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ascii="等线" w:hAnsi="等线" w:eastAsia="等线"/>
                <w:b/>
                <w:sz w:val="28"/>
                <w:szCs w:val="28"/>
              </w:rPr>
              <w:t>机主姓名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ascii="等线" w:hAnsi="等线" w:eastAsia="等线"/>
                <w:b/>
                <w:sz w:val="28"/>
                <w:szCs w:val="28"/>
              </w:rPr>
              <w:t>手机号码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ascii="等线" w:hAnsi="等线" w:eastAsia="等线"/>
                <w:b/>
                <w:sz w:val="28"/>
                <w:szCs w:val="28"/>
              </w:rPr>
              <w:t>年级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sz w:val="28"/>
                <w:szCs w:val="28"/>
              </w:rPr>
              <w:t>手机服务</w:t>
            </w:r>
            <w:r>
              <w:rPr>
                <w:rFonts w:ascii="等线" w:hAnsi="等线" w:eastAsia="等线"/>
                <w:b/>
                <w:sz w:val="28"/>
                <w:szCs w:val="28"/>
              </w:rPr>
              <w:t>运营商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default" w:ascii="等线" w:hAnsi="等线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/预科</w:t>
            </w: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南京中医药大学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>
            <w:pPr>
              <w:ind w:firstLine="560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kern w:val="0"/>
          <w:szCs w:val="21"/>
        </w:rPr>
      </w:pPr>
      <w:r>
        <w:rPr>
          <w:kern w:val="0"/>
          <w:szCs w:val="21"/>
        </w:rPr>
        <w:t>填表说明：1.机主姓名指的是手机号办理时开户人的姓名，机主姓名必须和手机号码相对应。</w:t>
      </w:r>
    </w:p>
    <w:p>
      <w:pPr>
        <w:spacing w:line="560" w:lineRule="exact"/>
        <w:ind w:firstLine="1050" w:firstLineChars="500"/>
        <w:rPr>
          <w:kern w:val="0"/>
          <w:szCs w:val="21"/>
        </w:rPr>
      </w:pPr>
      <w:r>
        <w:rPr>
          <w:kern w:val="0"/>
          <w:szCs w:val="21"/>
        </w:rPr>
        <w:t>2.年级请按照</w:t>
      </w:r>
      <w:r>
        <w:rPr>
          <w:rFonts w:hint="eastAsia"/>
          <w:kern w:val="0"/>
          <w:szCs w:val="21"/>
          <w:lang w:eastAsia="zh-CN"/>
        </w:rPr>
        <w:t>预科、大一、大二、大三、大四、大五</w:t>
      </w:r>
      <w:r>
        <w:rPr>
          <w:kern w:val="0"/>
          <w:szCs w:val="21"/>
        </w:rPr>
        <w:t>，规范填写。</w:t>
      </w:r>
    </w:p>
    <w:p>
      <w:pPr>
        <w:spacing w:line="560" w:lineRule="exact"/>
        <w:ind w:firstLine="1050" w:firstLineChars="500"/>
        <w:rPr>
          <w:kern w:val="0"/>
          <w:szCs w:val="21"/>
        </w:rPr>
      </w:pPr>
      <w:r>
        <w:rPr>
          <w:kern w:val="0"/>
          <w:szCs w:val="21"/>
        </w:rPr>
        <w:t>3.运营商分为移动、电信、联通。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2020-09-17T09:12:53Z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